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44" w:rsidRDefault="002D5E44" w:rsidP="006B6D7F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4484">
        <w:rPr>
          <w:rFonts w:ascii="Times New Roman" w:hAnsi="Times New Roman" w:cs="Times New Roman"/>
          <w:b/>
          <w:bCs/>
          <w:sz w:val="24"/>
          <w:szCs w:val="24"/>
        </w:rPr>
        <w:t>AREA DI RISCHIO: PROCEDURE DI SCELTA DEI CONTRAENTI SOGGETTI A PUBBLICAZIONE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4484">
        <w:rPr>
          <w:rFonts w:ascii="Times New Roman" w:hAnsi="Times New Roman" w:cs="Times New Roman"/>
          <w:b/>
          <w:bCs/>
          <w:sz w:val="24"/>
          <w:szCs w:val="24"/>
        </w:rPr>
        <w:t xml:space="preserve"> MACRO PROCESSI: </w:t>
      </w:r>
      <w:r w:rsidRPr="00CE735D">
        <w:rPr>
          <w:rFonts w:ascii="Times New Roman" w:hAnsi="Times New Roman" w:cs="Times New Roman"/>
          <w:bCs/>
          <w:sz w:val="24"/>
          <w:szCs w:val="24"/>
        </w:rPr>
        <w:t>APPALTI DI SERVIZI E FORNITURE</w:t>
      </w:r>
      <w:r w:rsidRPr="003044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E735D" w:rsidRDefault="00CE735D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4484">
        <w:rPr>
          <w:rFonts w:ascii="Times New Roman" w:hAnsi="Times New Roman" w:cs="Times New Roman"/>
          <w:b/>
          <w:bCs/>
          <w:sz w:val="24"/>
          <w:szCs w:val="24"/>
        </w:rPr>
        <w:t xml:space="preserve"> MAPPATURA RISCHI: </w:t>
      </w:r>
    </w:p>
    <w:p w:rsidR="00304484" w:rsidRPr="000223F7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3F7">
        <w:rPr>
          <w:rFonts w:ascii="Times New Roman" w:hAnsi="Times New Roman" w:cs="Times New Roman"/>
          <w:bCs/>
          <w:sz w:val="24"/>
          <w:szCs w:val="24"/>
        </w:rPr>
        <w:t>Alterazione mercato concorrenza, violazione dei principi di non discriminazione, economicità, buon andamento, imparzialità,trasparenza,</w:t>
      </w:r>
    </w:p>
    <w:p w:rsidR="00CE735D" w:rsidRDefault="00CE735D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4484">
        <w:rPr>
          <w:rFonts w:ascii="Times New Roman" w:hAnsi="Times New Roman" w:cs="Times New Roman"/>
          <w:b/>
          <w:bCs/>
          <w:sz w:val="24"/>
          <w:szCs w:val="24"/>
        </w:rPr>
        <w:t xml:space="preserve"> ATTIVITA'-PROCEDIMENTO: </w:t>
      </w:r>
    </w:p>
    <w:p w:rsidR="00304484" w:rsidRPr="000223F7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3F7">
        <w:rPr>
          <w:rFonts w:ascii="Times New Roman" w:hAnsi="Times New Roman" w:cs="Times New Roman"/>
          <w:bCs/>
          <w:sz w:val="24"/>
          <w:szCs w:val="24"/>
        </w:rPr>
        <w:t>1) Appalti di servizi e forniture sotto soglia comunitaria;</w:t>
      </w:r>
    </w:p>
    <w:p w:rsidR="00CE735D" w:rsidRDefault="00CE735D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4484">
        <w:rPr>
          <w:rFonts w:ascii="Times New Roman" w:hAnsi="Times New Roman" w:cs="Times New Roman"/>
          <w:b/>
          <w:bCs/>
          <w:sz w:val="24"/>
          <w:szCs w:val="24"/>
        </w:rPr>
        <w:t> MISURE DI PREVENZIONE:</w:t>
      </w:r>
    </w:p>
    <w:p w:rsidR="00304484" w:rsidRPr="000223F7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3F7">
        <w:rPr>
          <w:rFonts w:ascii="Times New Roman" w:hAnsi="Times New Roman" w:cs="Times New Roman"/>
          <w:bCs/>
          <w:sz w:val="24"/>
          <w:szCs w:val="24"/>
        </w:rPr>
        <w:t xml:space="preserve">1) Obbligatorio ricorso al MEPA (mercato elettronico) gestito da </w:t>
      </w:r>
      <w:proofErr w:type="spellStart"/>
      <w:r w:rsidRPr="000223F7">
        <w:rPr>
          <w:rFonts w:ascii="Times New Roman" w:hAnsi="Times New Roman" w:cs="Times New Roman"/>
          <w:bCs/>
          <w:sz w:val="24"/>
          <w:szCs w:val="24"/>
        </w:rPr>
        <w:t>Consip</w:t>
      </w:r>
      <w:proofErr w:type="spellEnd"/>
      <w:r w:rsidRPr="000223F7">
        <w:rPr>
          <w:rFonts w:ascii="Times New Roman" w:hAnsi="Times New Roman" w:cs="Times New Roman"/>
          <w:bCs/>
          <w:sz w:val="24"/>
          <w:szCs w:val="24"/>
        </w:rPr>
        <w:t xml:space="preserve"> ai sensi del DL 95/2012 convertito nella L. 135/2012 (</w:t>
      </w:r>
      <w:proofErr w:type="spellStart"/>
      <w:r w:rsidRPr="000223F7">
        <w:rPr>
          <w:rFonts w:ascii="Times New Roman" w:hAnsi="Times New Roman" w:cs="Times New Roman"/>
          <w:bCs/>
          <w:sz w:val="24"/>
          <w:szCs w:val="24"/>
        </w:rPr>
        <w:t>spending</w:t>
      </w:r>
      <w:proofErr w:type="spellEnd"/>
      <w:r w:rsidRPr="000223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223F7">
        <w:rPr>
          <w:rFonts w:ascii="Times New Roman" w:hAnsi="Times New Roman" w:cs="Times New Roman"/>
          <w:bCs/>
          <w:sz w:val="24"/>
          <w:szCs w:val="24"/>
        </w:rPr>
        <w:t>review</w:t>
      </w:r>
      <w:proofErr w:type="spellEnd"/>
      <w:r w:rsidRPr="000223F7">
        <w:rPr>
          <w:rFonts w:ascii="Times New Roman" w:hAnsi="Times New Roman" w:cs="Times New Roman"/>
          <w:bCs/>
          <w:sz w:val="24"/>
          <w:szCs w:val="24"/>
        </w:rPr>
        <w:t xml:space="preserve">), anche mediante RDO (richiesta di offerta). L'inosservanza causa la nullità del contratto ed  è fonte di responsabilità amministrativa oltre che disciplinare. Solo ove i beni e servizi </w:t>
      </w:r>
      <w:r w:rsidRPr="000223F7">
        <w:rPr>
          <w:rFonts w:ascii="Times New Roman" w:hAnsi="Times New Roman" w:cs="Times New Roman"/>
          <w:bCs/>
          <w:sz w:val="24"/>
          <w:szCs w:val="24"/>
          <w:u w:val="single"/>
        </w:rPr>
        <w:t>non siano reperibili nel mercato elettronico</w:t>
      </w:r>
      <w:r w:rsidRPr="000223F7">
        <w:rPr>
          <w:rFonts w:ascii="Times New Roman" w:hAnsi="Times New Roman" w:cs="Times New Roman"/>
          <w:bCs/>
          <w:sz w:val="24"/>
          <w:szCs w:val="24"/>
        </w:rPr>
        <w:t xml:space="preserve"> oppure, pur disponibili, siano </w:t>
      </w:r>
      <w:r w:rsidRPr="000223F7">
        <w:rPr>
          <w:rFonts w:ascii="Times New Roman" w:hAnsi="Times New Roman" w:cs="Times New Roman"/>
          <w:bCs/>
          <w:sz w:val="24"/>
          <w:szCs w:val="24"/>
          <w:u w:val="single"/>
        </w:rPr>
        <w:t>inidonei a soddisfare</w:t>
      </w:r>
      <w:r w:rsidRPr="000223F7">
        <w:rPr>
          <w:rFonts w:ascii="Times New Roman" w:hAnsi="Times New Roman" w:cs="Times New Roman"/>
          <w:bCs/>
          <w:sz w:val="24"/>
          <w:szCs w:val="24"/>
        </w:rPr>
        <w:t xml:space="preserve"> le specifiche necessità dell'Amministrazione  per mancanza di qualità essenziali, è possibile ricorrere alle procedure di acquisto ai sensi dell'art.125 Codice Contratti.</w:t>
      </w:r>
    </w:p>
    <w:p w:rsidR="00304484" w:rsidRPr="000223F7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3F7">
        <w:rPr>
          <w:rFonts w:ascii="Times New Roman" w:hAnsi="Times New Roman" w:cs="Times New Roman"/>
          <w:bCs/>
          <w:sz w:val="24"/>
          <w:szCs w:val="24"/>
        </w:rPr>
        <w:t>2) Motivazione nel corpo della determinazione a contrarre della non reperibilità e sostituibilità del bene o del servizio con i beni e servizi acquisibili nel MEPA.</w:t>
      </w:r>
    </w:p>
    <w:p w:rsidR="00304484" w:rsidRPr="000223F7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3F7">
        <w:rPr>
          <w:rFonts w:ascii="Times New Roman" w:hAnsi="Times New Roman" w:cs="Times New Roman"/>
          <w:bCs/>
          <w:sz w:val="24"/>
          <w:szCs w:val="24"/>
        </w:rPr>
        <w:t>3) Obbligo di pubblicare sul sito web dell'Ente  le principali informazioni ai sensi dell'art.1, comma 32, Legge 190/2012.</w:t>
      </w:r>
    </w:p>
    <w:p w:rsidR="0034645B" w:rsidRPr="000223F7" w:rsidRDefault="0034645B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04484" w:rsidRPr="000223F7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645B" w:rsidRPr="000223F7" w:rsidRDefault="0034645B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645B" w:rsidRPr="000223F7" w:rsidRDefault="0034645B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645B" w:rsidRPr="000223F7" w:rsidRDefault="0034645B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4645B" w:rsidRDefault="0034645B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E735D" w:rsidRDefault="00CE735D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E735D" w:rsidRDefault="00CE735D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E735D" w:rsidRDefault="00CE735D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E735D" w:rsidRDefault="00CE735D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E735D" w:rsidRDefault="00CE735D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448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ATTIVITA'-PROCEDIMENTO: 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>1) Procedura negoziata senza bando di gara ai sensi dell'art.57, comma 2, Codice dei Contratti</w:t>
      </w:r>
    </w:p>
    <w:p w:rsidR="00304484" w:rsidRPr="00A27B5F" w:rsidRDefault="00304484" w:rsidP="00A27B5F">
      <w:pPr>
        <w:pStyle w:val="Paragrafoelenco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7B5F">
        <w:rPr>
          <w:rFonts w:ascii="Times New Roman" w:hAnsi="Times New Roman" w:cs="Times New Roman"/>
          <w:bCs/>
          <w:sz w:val="24"/>
          <w:szCs w:val="24"/>
        </w:rPr>
        <w:t xml:space="preserve">per ragioni di natura tecnica -comma 2, </w:t>
      </w:r>
      <w:proofErr w:type="spellStart"/>
      <w:r w:rsidRPr="00A27B5F">
        <w:rPr>
          <w:rFonts w:ascii="Times New Roman" w:hAnsi="Times New Roman" w:cs="Times New Roman"/>
          <w:bCs/>
          <w:sz w:val="24"/>
          <w:szCs w:val="24"/>
        </w:rPr>
        <w:t>lett.b</w:t>
      </w:r>
      <w:proofErr w:type="spellEnd"/>
      <w:r w:rsidRPr="00A27B5F">
        <w:rPr>
          <w:rFonts w:ascii="Times New Roman" w:hAnsi="Times New Roman" w:cs="Times New Roman"/>
          <w:bCs/>
          <w:sz w:val="24"/>
          <w:szCs w:val="24"/>
        </w:rPr>
        <w:t>);</w:t>
      </w:r>
    </w:p>
    <w:p w:rsidR="00304484" w:rsidRPr="00A27B5F" w:rsidRDefault="00304484" w:rsidP="00A27B5F">
      <w:pPr>
        <w:pStyle w:val="Paragrafoelenco"/>
        <w:numPr>
          <w:ilvl w:val="0"/>
          <w:numId w:val="3"/>
        </w:num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27B5F">
        <w:rPr>
          <w:rFonts w:ascii="Times New Roman" w:hAnsi="Times New Roman" w:cs="Times New Roman"/>
          <w:bCs/>
          <w:sz w:val="24"/>
          <w:szCs w:val="24"/>
        </w:rPr>
        <w:t>estrema urgenza- comma 2,lett. c);</w:t>
      </w:r>
    </w:p>
    <w:p w:rsid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4484">
        <w:rPr>
          <w:rFonts w:ascii="Times New Roman" w:hAnsi="Times New Roman" w:cs="Times New Roman"/>
          <w:b/>
          <w:bCs/>
          <w:sz w:val="24"/>
          <w:szCs w:val="24"/>
        </w:rPr>
        <w:t>MISURE DI PREVENZIONE: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> 1</w:t>
      </w:r>
      <w:r w:rsidR="000223F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04484">
        <w:rPr>
          <w:rFonts w:ascii="Times New Roman" w:hAnsi="Times New Roman" w:cs="Times New Roman"/>
          <w:bCs/>
          <w:sz w:val="24"/>
          <w:szCs w:val="24"/>
        </w:rPr>
        <w:t xml:space="preserve">A) Definire tecnicamente il bene/servizio da ricercare  nel corpo della determinazione a contrarre, </w:t>
      </w:r>
    </w:p>
    <w:p w:rsidR="00E7784E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>dimostrando che si tratta di bene infungibile;</w:t>
      </w:r>
      <w:r w:rsidR="00E7784E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04484" w:rsidRPr="00E7784E" w:rsidRDefault="00304484" w:rsidP="00E7784E">
      <w:pPr>
        <w:pStyle w:val="Paragrafoelenco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784E">
        <w:rPr>
          <w:rFonts w:ascii="Times New Roman" w:hAnsi="Times New Roman" w:cs="Times New Roman"/>
          <w:bCs/>
          <w:sz w:val="24"/>
          <w:szCs w:val="24"/>
        </w:rPr>
        <w:t xml:space="preserve">Dimostrare che non vi sono sul mercato altri operatori in grado di fornire quel bene;  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 xml:space="preserve">1 B) Urgenza qualificata: descrivere e motivare le esigenze eccezionali e contingenti </w:t>
      </w:r>
    </w:p>
    <w:p w:rsidR="00304484" w:rsidRPr="00E7784E" w:rsidRDefault="00304484" w:rsidP="00E7784E">
      <w:pPr>
        <w:pStyle w:val="Paragrafoelenco"/>
        <w:numPr>
          <w:ilvl w:val="0"/>
          <w:numId w:val="7"/>
        </w:num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7784E">
        <w:rPr>
          <w:rFonts w:ascii="Times New Roman" w:hAnsi="Times New Roman" w:cs="Times New Roman"/>
          <w:bCs/>
          <w:sz w:val="24"/>
          <w:szCs w:val="24"/>
        </w:rPr>
        <w:t>Efficacia dell'affidamento limitata nel tempo e circoscritta alla persistenza dell'evento straordinario;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E7784E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304484">
        <w:rPr>
          <w:rFonts w:ascii="Times New Roman" w:hAnsi="Times New Roman" w:cs="Times New Roman"/>
          <w:bCs/>
          <w:sz w:val="24"/>
          <w:szCs w:val="24"/>
        </w:rPr>
        <w:t>Urgenza non imputabile alla stazione appaltante (es. terremoto,inondazione);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 xml:space="preserve">2) </w:t>
      </w:r>
      <w:r w:rsidRPr="00304484">
        <w:rPr>
          <w:rFonts w:ascii="Times New Roman" w:hAnsi="Times New Roman" w:cs="Times New Roman"/>
          <w:bCs/>
          <w:sz w:val="24"/>
          <w:szCs w:val="24"/>
          <w:u w:val="single"/>
        </w:rPr>
        <w:t xml:space="preserve"> In entrambi i casi:</w:t>
      </w:r>
      <w:r w:rsidRPr="00304484">
        <w:rPr>
          <w:rFonts w:ascii="Times New Roman" w:hAnsi="Times New Roman" w:cs="Times New Roman"/>
          <w:bCs/>
          <w:sz w:val="24"/>
          <w:szCs w:val="24"/>
        </w:rPr>
        <w:t xml:space="preserve"> Registro degli affidamenti recante le seguenti informazioni: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>-  Estremi del provvedimento di affidamento;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>-  Oggetto dei lavori affidati;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>-  Modalità di selezione dell’operatore economico affidatario;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>-  Importo impegnato e liquidato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>-  Pubblicazione del registro sul sito web istituzionale dell’Ente in apposita sezione;</w:t>
      </w:r>
    </w:p>
    <w:p w:rsidR="00304484" w:rsidRPr="00E7784E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 xml:space="preserve">-  </w:t>
      </w:r>
      <w:r w:rsidRPr="00E7784E">
        <w:rPr>
          <w:rFonts w:ascii="Times New Roman" w:hAnsi="Times New Roman" w:cs="Times New Roman"/>
          <w:bCs/>
          <w:color w:val="FF0000"/>
          <w:sz w:val="24"/>
          <w:szCs w:val="24"/>
        </w:rPr>
        <w:t>Report semestrale da trasmettersi, a cura del Titolare di PO- Responsabile di Settore al Responsabile della Prevenzione su:</w:t>
      </w:r>
    </w:p>
    <w:p w:rsidR="00304484" w:rsidRPr="00E7784E" w:rsidRDefault="00304484" w:rsidP="00A27B5F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E7784E">
        <w:rPr>
          <w:rFonts w:ascii="Times New Roman" w:hAnsi="Times New Roman" w:cs="Times New Roman"/>
          <w:bCs/>
          <w:color w:val="FF0000"/>
          <w:sz w:val="24"/>
          <w:szCs w:val="24"/>
        </w:rPr>
        <w:t>Numero di affidamenti;</w:t>
      </w:r>
    </w:p>
    <w:p w:rsidR="00304484" w:rsidRPr="00E7784E" w:rsidRDefault="00304484" w:rsidP="00A27B5F">
      <w:pPr>
        <w:pStyle w:val="Paragrafoelenco"/>
        <w:numPr>
          <w:ilvl w:val="0"/>
          <w:numId w:val="5"/>
        </w:numPr>
        <w:spacing w:after="120" w:line="240" w:lineRule="auto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  <w:r w:rsidRPr="00E7784E">
        <w:rPr>
          <w:rFonts w:ascii="Times New Roman" w:hAnsi="Times New Roman" w:cs="Times New Roman"/>
          <w:bCs/>
          <w:color w:val="FF0000"/>
          <w:sz w:val="24"/>
          <w:szCs w:val="24"/>
        </w:rPr>
        <w:t>Somme spese/stanziamenti impegnati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>3) Verifica della corretta applicazione delle misure anche ai fini della valutazione della performance individuale degli Incaricati di P.O. da parte del Nucleo di Valutazione.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 xml:space="preserve">4) Attivazione di responsabilità disciplinare dei dipendenti in caso di violazione dei doveri. </w:t>
      </w:r>
    </w:p>
    <w:p w:rsid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E735D" w:rsidRDefault="00CE735D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E735D" w:rsidRDefault="00CE735D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CE735D" w:rsidRDefault="00CE735D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E735D" w:rsidRDefault="00CE735D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E735D" w:rsidRDefault="00CE735D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E735D" w:rsidRDefault="00CE735D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E735D" w:rsidRDefault="00CE735D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E735D" w:rsidRDefault="00CE735D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7784E" w:rsidRDefault="00E7784E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4484">
        <w:rPr>
          <w:rFonts w:ascii="Times New Roman" w:hAnsi="Times New Roman" w:cs="Times New Roman"/>
          <w:b/>
          <w:bCs/>
          <w:sz w:val="24"/>
          <w:szCs w:val="24"/>
        </w:rPr>
        <w:t xml:space="preserve">ATTIVITA'-PROCEDIMENTO: 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>1) Proroghe contrattuali;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>2) Rinnovi contrattuali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4484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4484">
        <w:rPr>
          <w:rFonts w:ascii="Times New Roman" w:hAnsi="Times New Roman" w:cs="Times New Roman"/>
          <w:b/>
          <w:bCs/>
          <w:sz w:val="24"/>
          <w:szCs w:val="24"/>
        </w:rPr>
        <w:t>MISURE DI PREVENZIONE: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>1) Obbligo di indire, almeno tre mesi prima della scadenza dei contratti aventi per oggetto la fornitura dei beni e dei servizi,  le procedure di aggiudicazione, secondo le modalità del Codice degli appalti;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>2) Atteso che proroga e rinnovo rappresentano rimedi eccezionali, è necessaria la redazione da parte del Responsabile del procedimento di una specifica relazione tecnica che attesti la ricorrenza dei presupposti di fatto e di diritto che legittimano eventuali proroghe e rinnovi di appalti di servizi e forniture alle ditte già affidatarie del medesimo appalto.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>3) I presupposti cui attenersi, secondo le indicazioni dell'Autorità di Vigilanza, sono:</w:t>
      </w:r>
    </w:p>
    <w:p w:rsidR="00304484" w:rsidRPr="00CE735D" w:rsidRDefault="00304484" w:rsidP="00CE735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35D">
        <w:rPr>
          <w:rFonts w:ascii="Times New Roman" w:hAnsi="Times New Roman" w:cs="Times New Roman"/>
          <w:bCs/>
          <w:sz w:val="24"/>
          <w:szCs w:val="24"/>
        </w:rPr>
        <w:t>Per la proroga: disposta prima della scadenza del contratto-finalizzata ad assicurare la prosecuzione del servizio-limitata nel tempo e cioè per il tempo necessario all'indizione della nuova procedura  -motivata sulla  base delle esigenze organizzative che hanno reso opportuno lo slittamento dell'indizione della nuova gara -.</w:t>
      </w:r>
    </w:p>
    <w:p w:rsidR="00304484" w:rsidRPr="00CE735D" w:rsidRDefault="00304484" w:rsidP="00CE735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E735D">
        <w:rPr>
          <w:rFonts w:ascii="Times New Roman" w:hAnsi="Times New Roman" w:cs="Times New Roman"/>
          <w:bCs/>
          <w:sz w:val="24"/>
          <w:szCs w:val="24"/>
        </w:rPr>
        <w:t>Per il rinnovo: divieto di rinnovo tacito, consentito solo il rinnovo espresso  solo ove il valore del rinnovo sia stato previsto nel valore complessivo del bando di  gara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>4) Per le proroghe e i rinnovi  si richiede la loro iscrizione in un registro da  monitorare  in sede di controlli interni e da pubblicare sul sito web dell’Ente .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>5) Verifica della corretta applicazione delle misure anche ai fini della valutazione della performance individuale degli Incaricati di P.O. da parte del Nucleo di Valutazione.</w:t>
      </w:r>
    </w:p>
    <w:p w:rsidR="00304484" w:rsidRPr="00304484" w:rsidRDefault="00304484" w:rsidP="00CE735D">
      <w:pPr>
        <w:spacing w:after="12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4484">
        <w:rPr>
          <w:rFonts w:ascii="Times New Roman" w:hAnsi="Times New Roman" w:cs="Times New Roman"/>
          <w:bCs/>
          <w:sz w:val="24"/>
          <w:szCs w:val="24"/>
        </w:rPr>
        <w:t xml:space="preserve">6) Attivazione di responsabilità disciplinare dei dipendenti in caso di violazione dei doveri. </w:t>
      </w:r>
    </w:p>
    <w:p w:rsidR="002D5E44" w:rsidRDefault="002D5E44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D5E44" w:rsidRDefault="002D5E44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4645B" w:rsidRDefault="0034645B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4621" w:rsidRDefault="00FA4621" w:rsidP="00CE735D">
      <w:pPr>
        <w:spacing w:after="12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FA4621" w:rsidSect="004663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6ED6" w:rsidRDefault="00A16ED6" w:rsidP="0046631D">
      <w:pPr>
        <w:spacing w:after="0" w:line="240" w:lineRule="auto"/>
      </w:pPr>
      <w:r>
        <w:separator/>
      </w:r>
    </w:p>
  </w:endnote>
  <w:endnote w:type="continuationSeparator" w:id="0">
    <w:p w:rsidR="00A16ED6" w:rsidRDefault="00A16ED6" w:rsidP="00466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930" w:rsidRDefault="00096930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930" w:rsidRDefault="00096930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930" w:rsidRDefault="00096930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6ED6" w:rsidRDefault="00A16ED6" w:rsidP="0046631D">
      <w:pPr>
        <w:spacing w:after="0" w:line="240" w:lineRule="auto"/>
      </w:pPr>
      <w:r>
        <w:separator/>
      </w:r>
    </w:p>
  </w:footnote>
  <w:footnote w:type="continuationSeparator" w:id="0">
    <w:p w:rsidR="00A16ED6" w:rsidRDefault="00A16ED6" w:rsidP="00466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930" w:rsidRDefault="00096930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96F" w:rsidRDefault="0046631D" w:rsidP="0003796F">
    <w:pPr>
      <w:jc w:val="center"/>
      <w:rPr>
        <w:rFonts w:ascii="Times New Roman" w:hAnsi="Times New Roman" w:cs="Times New Roman"/>
        <w:b/>
        <w:bCs/>
        <w:sz w:val="24"/>
        <w:szCs w:val="24"/>
        <w:u w:val="single"/>
      </w:rPr>
    </w:pPr>
    <w:r w:rsidRPr="004D2484">
      <w:rPr>
        <w:rFonts w:ascii="Times New Roman" w:hAnsi="Times New Roman" w:cs="Times New Roman"/>
        <w:b/>
        <w:bCs/>
        <w:sz w:val="24"/>
        <w:szCs w:val="24"/>
        <w:u w:val="single"/>
      </w:rPr>
      <w:t>SCHEDA</w:t>
    </w:r>
    <w:r w:rsidR="00FA4621">
      <w:rPr>
        <w:rFonts w:ascii="Times New Roman" w:hAnsi="Times New Roman" w:cs="Times New Roman"/>
        <w:b/>
        <w:bCs/>
        <w:sz w:val="24"/>
        <w:szCs w:val="24"/>
        <w:u w:val="single"/>
      </w:rPr>
      <w:t xml:space="preserve"> </w:t>
    </w:r>
    <w:r w:rsidR="00CB070C">
      <w:rPr>
        <w:rFonts w:ascii="Times New Roman" w:hAnsi="Times New Roman" w:cs="Times New Roman"/>
        <w:b/>
        <w:bCs/>
        <w:sz w:val="24"/>
        <w:szCs w:val="24"/>
        <w:u w:val="single"/>
      </w:rPr>
      <w:t>1</w:t>
    </w:r>
    <w:r w:rsidR="00436A20">
      <w:rPr>
        <w:rFonts w:ascii="Times New Roman" w:hAnsi="Times New Roman" w:cs="Times New Roman"/>
        <w:b/>
        <w:bCs/>
        <w:sz w:val="24"/>
        <w:szCs w:val="24"/>
        <w:u w:val="single"/>
      </w:rPr>
      <w:t>0</w:t>
    </w:r>
  </w:p>
  <w:p w:rsidR="0046631D" w:rsidRDefault="00096930" w:rsidP="00CB070C">
    <w:pPr>
      <w:jc w:val="center"/>
    </w:pPr>
    <w:r>
      <w:rPr>
        <w:rFonts w:ascii="Times New Roman" w:hAnsi="Times New Roman" w:cs="Times New Roman"/>
        <w:b/>
        <w:bCs/>
        <w:sz w:val="24"/>
        <w:szCs w:val="24"/>
      </w:rPr>
      <w:t>TUTTE LE AREE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6930" w:rsidRDefault="00096930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0E02"/>
    <w:multiLevelType w:val="hybridMultilevel"/>
    <w:tmpl w:val="6786F9B2"/>
    <w:lvl w:ilvl="0" w:tplc="E5520000">
      <w:start w:val="1"/>
      <w:numFmt w:val="upperLetter"/>
      <w:lvlText w:val="%1)"/>
      <w:lvlJc w:val="left"/>
      <w:pPr>
        <w:ind w:left="645" w:hanging="4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20" w:hanging="360"/>
      </w:pPr>
    </w:lvl>
    <w:lvl w:ilvl="2" w:tplc="0410001B" w:tentative="1">
      <w:start w:val="1"/>
      <w:numFmt w:val="lowerRoman"/>
      <w:lvlText w:val="%3."/>
      <w:lvlJc w:val="right"/>
      <w:pPr>
        <w:ind w:left="2040" w:hanging="180"/>
      </w:pPr>
    </w:lvl>
    <w:lvl w:ilvl="3" w:tplc="0410000F" w:tentative="1">
      <w:start w:val="1"/>
      <w:numFmt w:val="decimal"/>
      <w:lvlText w:val="%4."/>
      <w:lvlJc w:val="left"/>
      <w:pPr>
        <w:ind w:left="2760" w:hanging="360"/>
      </w:pPr>
    </w:lvl>
    <w:lvl w:ilvl="4" w:tplc="04100019" w:tentative="1">
      <w:start w:val="1"/>
      <w:numFmt w:val="lowerLetter"/>
      <w:lvlText w:val="%5."/>
      <w:lvlJc w:val="left"/>
      <w:pPr>
        <w:ind w:left="3480" w:hanging="360"/>
      </w:pPr>
    </w:lvl>
    <w:lvl w:ilvl="5" w:tplc="0410001B" w:tentative="1">
      <w:start w:val="1"/>
      <w:numFmt w:val="lowerRoman"/>
      <w:lvlText w:val="%6."/>
      <w:lvlJc w:val="right"/>
      <w:pPr>
        <w:ind w:left="4200" w:hanging="180"/>
      </w:pPr>
    </w:lvl>
    <w:lvl w:ilvl="6" w:tplc="0410000F" w:tentative="1">
      <w:start w:val="1"/>
      <w:numFmt w:val="decimal"/>
      <w:lvlText w:val="%7."/>
      <w:lvlJc w:val="left"/>
      <w:pPr>
        <w:ind w:left="4920" w:hanging="360"/>
      </w:pPr>
    </w:lvl>
    <w:lvl w:ilvl="7" w:tplc="04100019" w:tentative="1">
      <w:start w:val="1"/>
      <w:numFmt w:val="lowerLetter"/>
      <w:lvlText w:val="%8."/>
      <w:lvlJc w:val="left"/>
      <w:pPr>
        <w:ind w:left="5640" w:hanging="360"/>
      </w:pPr>
    </w:lvl>
    <w:lvl w:ilvl="8" w:tplc="0410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15E76168"/>
    <w:multiLevelType w:val="hybridMultilevel"/>
    <w:tmpl w:val="1DCEF0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6A6B4F"/>
    <w:multiLevelType w:val="hybridMultilevel"/>
    <w:tmpl w:val="173CD6C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92CE4"/>
    <w:multiLevelType w:val="hybridMultilevel"/>
    <w:tmpl w:val="82C0763A"/>
    <w:lvl w:ilvl="0" w:tplc="0ECE681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">
    <w:nsid w:val="30FA296E"/>
    <w:multiLevelType w:val="hybridMultilevel"/>
    <w:tmpl w:val="D27EA45A"/>
    <w:lvl w:ilvl="0" w:tplc="CC3A7F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A06BA"/>
    <w:multiLevelType w:val="hybridMultilevel"/>
    <w:tmpl w:val="1DFC9762"/>
    <w:lvl w:ilvl="0" w:tplc="2AAC7A1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4C137A"/>
    <w:multiLevelType w:val="hybridMultilevel"/>
    <w:tmpl w:val="CFC671A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2484"/>
    <w:rsid w:val="000211D1"/>
    <w:rsid w:val="000223F7"/>
    <w:rsid w:val="0003796F"/>
    <w:rsid w:val="00096930"/>
    <w:rsid w:val="001732F4"/>
    <w:rsid w:val="00264C09"/>
    <w:rsid w:val="002D5E44"/>
    <w:rsid w:val="00304484"/>
    <w:rsid w:val="0034645B"/>
    <w:rsid w:val="00425A60"/>
    <w:rsid w:val="00436A20"/>
    <w:rsid w:val="0046631D"/>
    <w:rsid w:val="004D2484"/>
    <w:rsid w:val="006279C8"/>
    <w:rsid w:val="006B6D7F"/>
    <w:rsid w:val="007144D5"/>
    <w:rsid w:val="007B3A2B"/>
    <w:rsid w:val="007B3B64"/>
    <w:rsid w:val="00805936"/>
    <w:rsid w:val="00925582"/>
    <w:rsid w:val="00A16ED6"/>
    <w:rsid w:val="00A27B5F"/>
    <w:rsid w:val="00A96604"/>
    <w:rsid w:val="00CB070C"/>
    <w:rsid w:val="00CC7FF6"/>
    <w:rsid w:val="00CE735D"/>
    <w:rsid w:val="00DB5093"/>
    <w:rsid w:val="00E41CE0"/>
    <w:rsid w:val="00E7784E"/>
    <w:rsid w:val="00EB37E5"/>
    <w:rsid w:val="00FA4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660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631D"/>
  </w:style>
  <w:style w:type="paragraph" w:styleId="Pidipagina">
    <w:name w:val="footer"/>
    <w:basedOn w:val="Normale"/>
    <w:link w:val="Pidipagina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631D"/>
  </w:style>
  <w:style w:type="paragraph" w:styleId="Paragrafoelenco">
    <w:name w:val="List Paragraph"/>
    <w:basedOn w:val="Normale"/>
    <w:uiPriority w:val="34"/>
    <w:qFormat/>
    <w:rsid w:val="00CE73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6631D"/>
  </w:style>
  <w:style w:type="paragraph" w:styleId="Pidipagina">
    <w:name w:val="footer"/>
    <w:basedOn w:val="Normale"/>
    <w:link w:val="PidipaginaCarattere"/>
    <w:uiPriority w:val="99"/>
    <w:unhideWhenUsed/>
    <w:rsid w:val="004663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663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Gabriele Pasella</dc:creator>
  <cp:lastModifiedBy>Maria Grazia Meloni</cp:lastModifiedBy>
  <cp:revision>9</cp:revision>
  <dcterms:created xsi:type="dcterms:W3CDTF">2013-12-03T14:38:00Z</dcterms:created>
  <dcterms:modified xsi:type="dcterms:W3CDTF">2015-01-23T12:13:00Z</dcterms:modified>
</cp:coreProperties>
</file>